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 xml:space="preserve">Illustrative business · Sample report</w:t>
      </w:r>
    </w:p>
    <w:p>
      <w:pPr>
        <w:pStyle w:val="Normal"/>
      </w:pPr>
      <w:r>
        <w:t xml:space="preserve">Business plan report · 2026-09-14 · GBP · Base</w:t>
      </w:r>
    </w:p>
    <w:p>
      <w:pPr>
        <w:pStyle w:val="Normal"/>
      </w:pPr>
      <w:r>
        <w:t xml:space="preserve">ITERAQ · Illustrative business · Sample report</w:t>
      </w:r>
    </w:p>
    <w:p>
      <w:pPr>
        <w:pStyle w:val="Normal"/>
      </w:pPr>
      <w:r>
        <w:t xml:space="preserve">Planning assumptions only. VAT, loss relief, dividends and country-specific accounting adjustments are excluded. Negative cash shows funding still needed, not an approved credit line. Returns are not guaranteed.</w:t>
      </w:r>
    </w:p>
    <w:p>
      <w:pPr>
        <w:pStyle w:val="Heading1"/>
      </w:pPr>
      <w:r>
        <w:t xml:space="preserve">Business idea</w:t>
      </w:r>
    </w:p>
    <w:p>
      <w:pPr>
        <w:pStyle w:val="Normal"/>
      </w:pPr>
      <w:r>
        <w:t xml:space="preserve">Fictional business and illustrative assumptions. This sample demonstrates ITERAQ report formats; it is not a customer result or verified market forecast. A fictional digital-services studio preparing its first three-year plan.</w:t>
      </w:r>
    </w:p>
    <w:p>
      <w:pPr>
        <w:pStyle w:val="Heading1"/>
      </w:pPr>
      <w:r>
        <w:t xml:space="preserve">Target customers</w:t>
      </w:r>
    </w:p>
    <w:p>
      <w:pPr>
        <w:pStyle w:val="Normal"/>
      </w:pPr>
      <w:r>
        <w:t xml:space="preserve">Small local businesses that need a simple website and monthly support.</w:t>
      </w:r>
    </w:p>
    <w:p>
      <w:pPr>
        <w:pStyle w:val="Heading1"/>
      </w:pPr>
      <w:r>
        <w:t xml:space="preserve">Customer problem</w:t>
      </w:r>
    </w:p>
    <w:p>
      <w:pPr>
        <w:pStyle w:val="Normal"/>
      </w:pPr>
      <w:r>
        <w:t xml:space="preserve">Potential customers may lack the time and skills to maintain their websites. This is a hypothesis to validate.</w:t>
      </w:r>
    </w:p>
    <w:p>
      <w:pPr>
        <w:pStyle w:val="Heading1"/>
      </w:pPr>
      <w:r>
        <w:t xml:space="preserve">Your solution</w:t>
      </w:r>
    </w:p>
    <w:p>
      <w:pPr>
        <w:pStyle w:val="Normal"/>
      </w:pPr>
      <w:r>
        <w:t xml:space="preserve">A fixed-scope website package with optional support, clear handover and documented tasks.</w:t>
      </w:r>
    </w:p>
    <w:p>
      <w:pPr>
        <w:pStyle w:val="Heading1"/>
      </w:pPr>
      <w:r>
        <w:t xml:space="preserve">Sales channels</w:t>
      </w:r>
    </w:p>
    <w:p>
      <w:pPr>
        <w:pStyle w:val="Normal"/>
      </w:pPr>
      <w:r>
        <w:t xml:space="preserve">Local outreach, referral partners and a small landing-page experiment. No acquired customers are claimed.</w:t>
      </w:r>
    </w:p>
    <w:p>
      <w:pPr>
        <w:pStyle w:val="Heading1"/>
      </w:pPr>
      <w:r>
        <w:t xml:space="preserve">Competition and alternatives</w:t>
      </w:r>
    </w:p>
    <w:p>
      <w:pPr>
        <w:pStyle w:val="Normal"/>
      </w:pPr>
      <w:r>
        <w:t xml:space="preserve">Compare three local providers on scope, price and support before setting the final offer.</w:t>
      </w:r>
    </w:p>
    <w:p>
      <w:pPr>
        <w:pStyle w:val="Heading1"/>
      </w:pPr>
      <w:r>
        <w:t xml:space="preserve">Operations</w:t>
      </w:r>
    </w:p>
    <w:p>
      <w:pPr>
        <w:pStyle w:val="Normal"/>
      </w:pPr>
      <w:r>
        <w:t xml:space="preserve">Record requirements, agree scope, deliver a draft, test and hand over files.</w:t>
      </w:r>
    </w:p>
    <w:p>
      <w:pPr>
        <w:pStyle w:val="Heading1"/>
      </w:pPr>
      <w:r>
        <w:t xml:space="preserve">Team and responsibilities</w:t>
      </w:r>
    </w:p>
    <w:p>
      <w:pPr>
        <w:pStyle w:val="Normal"/>
      </w:pPr>
      <w:r>
        <w:t xml:space="preserve">A founder-led operation using outside specialists when the scope requires them.</w:t>
      </w:r>
    </w:p>
    <w:p>
      <w:pPr>
        <w:pStyle w:val="Heading1"/>
      </w:pPr>
      <w:r>
        <w:t xml:space="preserve">Risks and mitigations</w:t>
      </w:r>
    </w:p>
    <w:p>
      <w:pPr>
        <w:pStyle w:val="Normal"/>
      </w:pPr>
      <w:r>
        <w:t xml:space="preserve">Illustrative demand and costs may be wrong. Lower sales, delayed payments and higher delivery costs reduce cash.</w:t>
      </w:r>
    </w:p>
    <w:p>
      <w:pPr>
        <w:pStyle w:val="Heading1"/>
      </w:pPr>
      <w:r>
        <w:t xml:space="preserve">Milestones</w:t>
      </w:r>
    </w:p>
    <w:p>
      <w:pPr>
        <w:pStyle w:val="Normal"/>
      </w:pPr>
      <w:r>
        <w:t xml:space="preserve">First 30 days: customer interviews. Days 31–60: pilot offer. Days 61–90: review delivery costs and revise the plan.</w:t>
      </w:r>
    </w:p>
    <w:p>
      <w:pPr>
        <w:pStyle w:val="Heading1"/>
      </w:pPr>
      <w:r>
        <w:t xml:space="preserve">Profit &amp; loss (GBP)</w:t>
      </w:r>
    </w:p>
    <w:tbl>
      <w:tblPr>
        <w:tblW w:w="0" w:type="auto"/>
        <w:tblBorders>
          <w:top w:val="single" w:sz="4" w:color="D9D9D9"/>
          <w:left w:val="single" w:sz="4" w:color="D9D9D9"/>
          <w:bottom w:val="single" w:sz="4" w:color="D9D9D9"/>
          <w:right w:val="single" w:sz="4" w:color="D9D9D9"/>
          <w:insideH w:val="single" w:sz="4" w:color="D9D9D9"/>
          <w:insideV w:val="single" w:sz="4" w:color="D9D9D9"/>
        </w:tblBorders>
      </w:tblPr>
      <w:tblGrid>
        <w:gridCol w:w="4200"/>
        <w:gridCol w:w="1900"/>
        <w:gridCol w:w="1900"/>
        <w:gridCol w:w="1900"/>
      </w:tblGrid>
      <w:tr>
        <w:trPr>
          <w:tblHeader/>
        </w:trPr>
        <w:tc>
          <w:tcPr>
            <w:tcW w:w="4200" w:type="dxa"/>
            <w:shd w:fill="13394D"/>
            <w:vAlign w:val="center"/>
          </w:tcPr>
          <w:p>
            <w:pPr>
              <w:spacing w:before="70" w:after="70"/>
            </w:pPr>
            <w:r>
              <w:rPr>
                <w:sz w:val="18"/>
                <w:b/>
                <w:color w:val="FFFFFF"/>
              </w:rPr>
              <w:t>Profit &amp; loss</w:t>
            </w:r>
          </w:p>
        </w:tc>
        <w:tc>
          <w:tcPr>
            <w:tcW w:w="1900" w:type="dxa"/>
            <w:shd w:fill="13394D"/>
            <w:vAlign w:val="center"/>
          </w:tcPr>
          <w:p>
            <w:pPr>
              <w:spacing w:before="70" w:after="70"/>
              <w:jc w:val="right"/>
            </w:pPr>
            <w:r>
              <w:rPr>
                <w:sz w:val="18"/>
                <w:b/>
                <w:color w:val="FFFFFF"/>
              </w:rPr>
              <w:t>Year 1</w:t>
            </w:r>
          </w:p>
        </w:tc>
        <w:tc>
          <w:tcPr>
            <w:tcW w:w="1900" w:type="dxa"/>
            <w:shd w:fill="13394D"/>
            <w:vAlign w:val="center"/>
          </w:tcPr>
          <w:p>
            <w:pPr>
              <w:spacing w:before="70" w:after="70"/>
              <w:jc w:val="right"/>
            </w:pPr>
            <w:r>
              <w:rPr>
                <w:sz w:val="18"/>
                <w:b/>
                <w:color w:val="FFFFFF"/>
              </w:rPr>
              <w:t>Year 2</w:t>
            </w:r>
          </w:p>
        </w:tc>
        <w:tc>
          <w:tcPr>
            <w:tcW w:w="1900" w:type="dxa"/>
            <w:shd w:fill="13394D"/>
            <w:vAlign w:val="center"/>
          </w:tcPr>
          <w:p>
            <w:pPr>
              <w:spacing w:before="70" w:after="70"/>
              <w:jc w:val="right"/>
            </w:pPr>
            <w:r>
              <w:rPr>
                <w:sz w:val="18"/>
                <w:b/>
                <w:color w:val="FFFFFF"/>
              </w:rPr>
              <w:t>Year 3</w:t>
            </w:r>
          </w:p>
        </w:tc>
      </w:tr>
      <w:tr>
        <w:tc>
          <w:tcPr>
            <w:tcW w:w="4200" w:type="dxa"/>
            <w:shd w:fill="F2F6F8"/>
            <w:vAlign w:val="center"/>
          </w:tcPr>
          <w:p>
            <w:pPr>
              <w:spacing w:before="70" w:after="70"/>
            </w:pPr>
            <w:r>
              <w:rPr>
                <w:sz w:val="18"/>
              </w:rPr>
              <w:t>Revenue</w:t>
            </w:r>
          </w:p>
        </w:tc>
        <w:tc>
          <w:tcPr>
            <w:tcW w:w="1900" w:type="dxa"/>
            <w:shd w:fill="F2F6F8"/>
            <w:vAlign w:val="center"/>
          </w:tcPr>
          <w:p>
            <w:pPr>
              <w:spacing w:before="70" w:after="70"/>
              <w:jc w:val="right"/>
            </w:pPr>
            <w:r>
              <w:rPr>
                <w:sz w:val="18"/>
              </w:rPr>
              <w:t>145,969</w:t>
            </w:r>
          </w:p>
        </w:tc>
        <w:tc>
          <w:tcPr>
            <w:tcW w:w="1900" w:type="dxa"/>
            <w:shd w:fill="F2F6F8"/>
            <w:vAlign w:val="center"/>
          </w:tcPr>
          <w:p>
            <w:pPr>
              <w:spacing w:before="70" w:after="70"/>
              <w:jc w:val="right"/>
            </w:pPr>
            <w:r>
              <w:rPr>
                <w:sz w:val="18"/>
              </w:rPr>
              <w:t>150,349</w:t>
            </w:r>
          </w:p>
        </w:tc>
        <w:tc>
          <w:tcPr>
            <w:tcW w:w="1900" w:type="dxa"/>
            <w:shd w:fill="F2F6F8"/>
            <w:vAlign w:val="center"/>
          </w:tcPr>
          <w:p>
            <w:pPr>
              <w:spacing w:before="70" w:after="70"/>
              <w:jc w:val="right"/>
            </w:pPr>
            <w:r>
              <w:rPr>
                <w:sz w:val="18"/>
              </w:rPr>
              <w:t>154,859</w:t>
            </w:r>
          </w:p>
        </w:tc>
      </w:tr>
      <w:tr>
        <w:tc>
          <w:tcPr>
            <w:tcW w:w="4200" w:type="dxa"/>
            <w:shd w:fill="F2F6F8"/>
            <w:vAlign w:val="center"/>
          </w:tcPr>
          <w:p>
            <w:pPr>
              <w:spacing w:before="70" w:after="70"/>
            </w:pPr>
            <w:r>
              <w:rPr>
                <w:sz w:val="18"/>
              </w:rPr>
              <w:t>Direct costs</w:t>
            </w:r>
          </w:p>
        </w:tc>
        <w:tc>
          <w:tcPr>
            <w:tcW w:w="1900" w:type="dxa"/>
            <w:shd w:fill="F2F6F8"/>
            <w:vAlign w:val="center"/>
          </w:tcPr>
          <w:p>
            <w:pPr>
              <w:spacing w:before="70" w:after="70"/>
              <w:jc w:val="right"/>
            </w:pPr>
            <w:r>
              <w:rPr>
                <w:sz w:val="18"/>
              </w:rPr>
              <w:t>35,354</w:t>
            </w:r>
          </w:p>
        </w:tc>
        <w:tc>
          <w:tcPr>
            <w:tcW w:w="1900" w:type="dxa"/>
            <w:shd w:fill="F2F6F8"/>
            <w:vAlign w:val="center"/>
          </w:tcPr>
          <w:p>
            <w:pPr>
              <w:spacing w:before="70" w:after="70"/>
              <w:jc w:val="right"/>
            </w:pPr>
            <w:r>
              <w:rPr>
                <w:sz w:val="18"/>
              </w:rPr>
              <w:t>37,143</w:t>
            </w:r>
          </w:p>
        </w:tc>
        <w:tc>
          <w:tcPr>
            <w:tcW w:w="1900" w:type="dxa"/>
            <w:shd w:fill="F2F6F8"/>
            <w:vAlign w:val="center"/>
          </w:tcPr>
          <w:p>
            <w:pPr>
              <w:spacing w:before="70" w:after="70"/>
              <w:jc w:val="right"/>
            </w:pPr>
            <w:r>
              <w:rPr>
                <w:sz w:val="18"/>
              </w:rPr>
              <w:t>39,023</w:t>
            </w:r>
          </w:p>
        </w:tc>
      </w:tr>
      <w:tr>
        <w:tc>
          <w:tcPr>
            <w:tcW w:w="4200" w:type="dxa"/>
            <w:shd w:fill="F2F6F8"/>
            <w:vAlign w:val="center"/>
          </w:tcPr>
          <w:p>
            <w:pPr>
              <w:spacing w:before="70" w:after="70"/>
            </w:pPr>
            <w:r>
              <w:rPr>
                <w:sz w:val="18"/>
              </w:rPr>
              <w:t>Gross profit</w:t>
            </w:r>
          </w:p>
        </w:tc>
        <w:tc>
          <w:tcPr>
            <w:tcW w:w="1900" w:type="dxa"/>
            <w:shd w:fill="F2F6F8"/>
            <w:vAlign w:val="center"/>
          </w:tcPr>
          <w:p>
            <w:pPr>
              <w:spacing w:before="70" w:after="70"/>
              <w:jc w:val="right"/>
            </w:pPr>
            <w:r>
              <w:rPr>
                <w:sz w:val="18"/>
              </w:rPr>
              <w:t>110,615</w:t>
            </w:r>
          </w:p>
        </w:tc>
        <w:tc>
          <w:tcPr>
            <w:tcW w:w="1900" w:type="dxa"/>
            <w:shd w:fill="F2F6F8"/>
            <w:vAlign w:val="center"/>
          </w:tcPr>
          <w:p>
            <w:pPr>
              <w:spacing w:before="70" w:after="70"/>
              <w:jc w:val="right"/>
            </w:pPr>
            <w:r>
              <w:rPr>
                <w:sz w:val="18"/>
              </w:rPr>
              <w:t>113,205</w:t>
            </w:r>
          </w:p>
        </w:tc>
        <w:tc>
          <w:tcPr>
            <w:tcW w:w="1900" w:type="dxa"/>
            <w:shd w:fill="F2F6F8"/>
            <w:vAlign w:val="center"/>
          </w:tcPr>
          <w:p>
            <w:pPr>
              <w:spacing w:before="70" w:after="70"/>
              <w:jc w:val="right"/>
            </w:pPr>
            <w:r>
              <w:rPr>
                <w:sz w:val="18"/>
              </w:rPr>
              <w:t>115,836</w:t>
            </w:r>
          </w:p>
        </w:tc>
      </w:tr>
      <w:tr>
        <w:tc>
          <w:tcPr>
            <w:tcW w:w="4200" w:type="dxa"/>
            <w:shd w:fill="F2F6F8"/>
            <w:vAlign w:val="center"/>
          </w:tcPr>
          <w:p>
            <w:pPr>
              <w:spacing w:before="70" w:after="70"/>
            </w:pPr>
            <w:r>
              <w:rPr>
                <w:sz w:val="18"/>
              </w:rPr>
              <w:t>Operating costs</w:t>
            </w:r>
          </w:p>
        </w:tc>
        <w:tc>
          <w:tcPr>
            <w:tcW w:w="1900" w:type="dxa"/>
            <w:shd w:fill="F2F6F8"/>
            <w:vAlign w:val="center"/>
          </w:tcPr>
          <w:p>
            <w:pPr>
              <w:spacing w:before="70" w:after="70"/>
              <w:jc w:val="right"/>
            </w:pPr>
            <w:r>
              <w:rPr>
                <w:sz w:val="18"/>
              </w:rPr>
              <w:t>48,438</w:t>
            </w:r>
          </w:p>
        </w:tc>
        <w:tc>
          <w:tcPr>
            <w:tcW w:w="1900" w:type="dxa"/>
            <w:shd w:fill="F2F6F8"/>
            <w:vAlign w:val="center"/>
          </w:tcPr>
          <w:p>
            <w:pPr>
              <w:spacing w:before="70" w:after="70"/>
              <w:jc w:val="right"/>
            </w:pPr>
            <w:r>
              <w:rPr>
                <w:sz w:val="18"/>
              </w:rPr>
              <w:t>49,407</w:t>
            </w:r>
          </w:p>
        </w:tc>
        <w:tc>
          <w:tcPr>
            <w:tcW w:w="1900" w:type="dxa"/>
            <w:shd w:fill="F2F6F8"/>
            <w:vAlign w:val="center"/>
          </w:tcPr>
          <w:p>
            <w:pPr>
              <w:spacing w:before="70" w:after="70"/>
              <w:jc w:val="right"/>
            </w:pPr>
            <w:r>
              <w:rPr>
                <w:sz w:val="18"/>
              </w:rPr>
              <w:t>50,395</w:t>
            </w:r>
          </w:p>
        </w:tc>
      </w:tr>
      <w:tr>
        <w:tc>
          <w:tcPr>
            <w:tcW w:w="4200" w:type="dxa"/>
            <w:shd w:fill="F2F6F8"/>
            <w:vAlign w:val="center"/>
          </w:tcPr>
          <w:p>
            <w:pPr>
              <w:spacing w:before="70" w:after="70"/>
            </w:pPr>
            <w:r>
              <w:rPr>
                <w:sz w:val="18"/>
              </w:rPr>
              <w:t>EBITDA</w:t>
            </w:r>
          </w:p>
        </w:tc>
        <w:tc>
          <w:tcPr>
            <w:tcW w:w="1900" w:type="dxa"/>
            <w:shd w:fill="F2F6F8"/>
            <w:vAlign w:val="center"/>
          </w:tcPr>
          <w:p>
            <w:pPr>
              <w:spacing w:before="70" w:after="70"/>
              <w:jc w:val="right"/>
            </w:pPr>
            <w:r>
              <w:rPr>
                <w:sz w:val="18"/>
              </w:rPr>
              <w:t>62,177</w:t>
            </w:r>
          </w:p>
        </w:tc>
        <w:tc>
          <w:tcPr>
            <w:tcW w:w="1900" w:type="dxa"/>
            <w:shd w:fill="F2F6F8"/>
            <w:vAlign w:val="center"/>
          </w:tcPr>
          <w:p>
            <w:pPr>
              <w:spacing w:before="70" w:after="70"/>
              <w:jc w:val="right"/>
            </w:pPr>
            <w:r>
              <w:rPr>
                <w:sz w:val="18"/>
              </w:rPr>
              <w:t>63,798</w:t>
            </w:r>
          </w:p>
        </w:tc>
        <w:tc>
          <w:tcPr>
            <w:tcW w:w="1900" w:type="dxa"/>
            <w:shd w:fill="F2F6F8"/>
            <w:vAlign w:val="center"/>
          </w:tcPr>
          <w:p>
            <w:pPr>
              <w:spacing w:before="70" w:after="70"/>
              <w:jc w:val="right"/>
            </w:pPr>
            <w:r>
              <w:rPr>
                <w:sz w:val="18"/>
              </w:rPr>
              <w:t>65,441</w:t>
            </w:r>
          </w:p>
        </w:tc>
      </w:tr>
      <w:tr>
        <w:tc>
          <w:tcPr>
            <w:tcW w:w="4200" w:type="dxa"/>
            <w:shd w:fill="F2F6F8"/>
            <w:vAlign w:val="center"/>
          </w:tcPr>
          <w:p>
            <w:pPr>
              <w:spacing w:before="70" w:after="70"/>
            </w:pPr>
            <w:r>
              <w:rPr>
                <w:sz w:val="18"/>
              </w:rPr>
              <w:t>Depreciation</w:t>
            </w:r>
          </w:p>
        </w:tc>
        <w:tc>
          <w:tcPr>
            <w:tcW w:w="1900" w:type="dxa"/>
            <w:shd w:fill="F2F6F8"/>
            <w:vAlign w:val="center"/>
          </w:tcPr>
          <w:p>
            <w:pPr>
              <w:spacing w:before="70" w:after="70"/>
              <w:jc w:val="right"/>
            </w:pPr>
            <w:r>
              <w:rPr>
                <w:sz w:val="18"/>
              </w:rPr>
              <w:t>1,000</w:t>
            </w:r>
          </w:p>
        </w:tc>
        <w:tc>
          <w:tcPr>
            <w:tcW w:w="1900" w:type="dxa"/>
            <w:shd w:fill="F2F6F8"/>
            <w:vAlign w:val="center"/>
          </w:tcPr>
          <w:p>
            <w:pPr>
              <w:spacing w:before="70" w:after="70"/>
              <w:jc w:val="right"/>
            </w:pPr>
            <w:r>
              <w:rPr>
                <w:sz w:val="18"/>
              </w:rPr>
              <w:t>1,000</w:t>
            </w:r>
          </w:p>
        </w:tc>
        <w:tc>
          <w:tcPr>
            <w:tcW w:w="1900" w:type="dxa"/>
            <w:shd w:fill="F2F6F8"/>
            <w:vAlign w:val="center"/>
          </w:tcPr>
          <w:p>
            <w:pPr>
              <w:spacing w:before="70" w:after="70"/>
              <w:jc w:val="right"/>
            </w:pPr>
            <w:r>
              <w:rPr>
                <w:sz w:val="18"/>
              </w:rPr>
              <w:t>1,000</w:t>
            </w:r>
          </w:p>
        </w:tc>
      </w:tr>
      <w:tr>
        <w:tc>
          <w:tcPr>
            <w:tcW w:w="4200" w:type="dxa"/>
            <w:shd w:fill="F2F6F8"/>
            <w:vAlign w:val="center"/>
          </w:tcPr>
          <w:p>
            <w:pPr>
              <w:spacing w:before="70" w:after="70"/>
            </w:pPr>
            <w:r>
              <w:rPr>
                <w:sz w:val="18"/>
              </w:rPr>
              <w:t>Operating profit</w:t>
            </w:r>
          </w:p>
        </w:tc>
        <w:tc>
          <w:tcPr>
            <w:tcW w:w="1900" w:type="dxa"/>
            <w:shd w:fill="F2F6F8"/>
            <w:vAlign w:val="center"/>
          </w:tcPr>
          <w:p>
            <w:pPr>
              <w:spacing w:before="70" w:after="70"/>
              <w:jc w:val="right"/>
            </w:pPr>
            <w:r>
              <w:rPr>
                <w:sz w:val="18"/>
              </w:rPr>
              <w:t>61,177</w:t>
            </w:r>
          </w:p>
        </w:tc>
        <w:tc>
          <w:tcPr>
            <w:tcW w:w="1900" w:type="dxa"/>
            <w:shd w:fill="F2F6F8"/>
            <w:vAlign w:val="center"/>
          </w:tcPr>
          <w:p>
            <w:pPr>
              <w:spacing w:before="70" w:after="70"/>
              <w:jc w:val="right"/>
            </w:pPr>
            <w:r>
              <w:rPr>
                <w:sz w:val="18"/>
              </w:rPr>
              <w:t>62,798</w:t>
            </w:r>
          </w:p>
        </w:tc>
        <w:tc>
          <w:tcPr>
            <w:tcW w:w="1900" w:type="dxa"/>
            <w:shd w:fill="F2F6F8"/>
            <w:vAlign w:val="center"/>
          </w:tcPr>
          <w:p>
            <w:pPr>
              <w:spacing w:before="70" w:after="70"/>
              <w:jc w:val="right"/>
            </w:pPr>
            <w:r>
              <w:rPr>
                <w:sz w:val="18"/>
              </w:rPr>
              <w:t>64,441</w:t>
            </w:r>
          </w:p>
        </w:tc>
      </w:tr>
      <w:tr>
        <w:tc>
          <w:tcPr>
            <w:tcW w:w="4200" w:type="dxa"/>
            <w:shd w:fill="F2F6F8"/>
            <w:vAlign w:val="center"/>
          </w:tcPr>
          <w:p>
            <w:pPr>
              <w:spacing w:before="70" w:after="70"/>
            </w:pPr>
            <w:r>
              <w:rPr>
                <w:sz w:val="18"/>
              </w:rPr>
              <w:t>Loan interest</w:t>
            </w:r>
          </w:p>
        </w:tc>
        <w:tc>
          <w:tcPr>
            <w:tcW w:w="1900" w:type="dxa"/>
            <w:shd w:fill="F2F6F8"/>
            <w:vAlign w:val="center"/>
          </w:tcPr>
          <w:p>
            <w:pPr>
              <w:spacing w:before="70" w:after="70"/>
              <w:jc w:val="right"/>
            </w:pPr>
            <w:r>
              <w:rPr>
                <w:sz w:val="18"/>
              </w:rPr>
              <w:t>0</w:t>
            </w:r>
          </w:p>
        </w:tc>
        <w:tc>
          <w:tcPr>
            <w:tcW w:w="1900" w:type="dxa"/>
            <w:shd w:fill="F2F6F8"/>
            <w:vAlign w:val="center"/>
          </w:tcPr>
          <w:p>
            <w:pPr>
              <w:spacing w:before="70" w:after="70"/>
              <w:jc w:val="right"/>
            </w:pPr>
            <w:r>
              <w:rPr>
                <w:sz w:val="18"/>
              </w:rPr>
              <w:t>0</w:t>
            </w:r>
          </w:p>
        </w:tc>
        <w:tc>
          <w:tcPr>
            <w:tcW w:w="1900" w:type="dxa"/>
            <w:shd w:fill="F2F6F8"/>
            <w:vAlign w:val="center"/>
          </w:tcPr>
          <w:p>
            <w:pPr>
              <w:spacing w:before="70" w:after="70"/>
              <w:jc w:val="right"/>
            </w:pPr>
            <w:r>
              <w:rPr>
                <w:sz w:val="18"/>
              </w:rPr>
              <w:t>0</w:t>
            </w:r>
          </w:p>
        </w:tc>
      </w:tr>
      <w:tr>
        <w:tc>
          <w:tcPr>
            <w:tcW w:w="4200" w:type="dxa"/>
            <w:shd w:fill="F2F6F8"/>
            <w:vAlign w:val="center"/>
          </w:tcPr>
          <w:p>
            <w:pPr>
              <w:spacing w:before="70" w:after="70"/>
            </w:pPr>
            <w:r>
              <w:rPr>
                <w:sz w:val="18"/>
              </w:rPr>
              <w:t>Estimated profit tax</w:t>
            </w:r>
          </w:p>
        </w:tc>
        <w:tc>
          <w:tcPr>
            <w:tcW w:w="1900" w:type="dxa"/>
            <w:shd w:fill="F2F6F8"/>
            <w:vAlign w:val="center"/>
          </w:tcPr>
          <w:p>
            <w:pPr>
              <w:spacing w:before="70" w:after="70"/>
              <w:jc w:val="right"/>
            </w:pPr>
            <w:r>
              <w:rPr>
                <w:sz w:val="18"/>
              </w:rPr>
              <w:t>12,235</w:t>
            </w:r>
          </w:p>
        </w:tc>
        <w:tc>
          <w:tcPr>
            <w:tcW w:w="1900" w:type="dxa"/>
            <w:shd w:fill="F2F6F8"/>
            <w:vAlign w:val="center"/>
          </w:tcPr>
          <w:p>
            <w:pPr>
              <w:spacing w:before="70" w:after="70"/>
              <w:jc w:val="right"/>
            </w:pPr>
            <w:r>
              <w:rPr>
                <w:sz w:val="18"/>
              </w:rPr>
              <w:t>12,560</w:t>
            </w:r>
          </w:p>
        </w:tc>
        <w:tc>
          <w:tcPr>
            <w:tcW w:w="1900" w:type="dxa"/>
            <w:shd w:fill="F2F6F8"/>
            <w:vAlign w:val="center"/>
          </w:tcPr>
          <w:p>
            <w:pPr>
              <w:spacing w:before="70" w:after="70"/>
              <w:jc w:val="right"/>
            </w:pPr>
            <w:r>
              <w:rPr>
                <w:sz w:val="18"/>
              </w:rPr>
              <w:t>12,888</w:t>
            </w:r>
          </w:p>
        </w:tc>
      </w:tr>
      <w:tr>
        <w:tc>
          <w:tcPr>
            <w:tcW w:w="4200" w:type="dxa"/>
            <w:shd w:fill="F2F6F8"/>
            <w:vAlign w:val="center"/>
          </w:tcPr>
          <w:p>
            <w:pPr>
              <w:spacing w:before="70" w:after="70"/>
            </w:pPr>
            <w:r>
              <w:rPr>
                <w:sz w:val="18"/>
              </w:rPr>
              <w:t>Net profit</w:t>
            </w:r>
          </w:p>
        </w:tc>
        <w:tc>
          <w:tcPr>
            <w:tcW w:w="1900" w:type="dxa"/>
            <w:shd w:fill="F2F6F8"/>
            <w:vAlign w:val="center"/>
          </w:tcPr>
          <w:p>
            <w:pPr>
              <w:spacing w:before="70" w:after="70"/>
              <w:jc w:val="right"/>
            </w:pPr>
            <w:r>
              <w:rPr>
                <w:sz w:val="18"/>
              </w:rPr>
              <w:t>48,941</w:t>
            </w:r>
          </w:p>
        </w:tc>
        <w:tc>
          <w:tcPr>
            <w:tcW w:w="1900" w:type="dxa"/>
            <w:shd w:fill="F2F6F8"/>
            <w:vAlign w:val="center"/>
          </w:tcPr>
          <w:p>
            <w:pPr>
              <w:spacing w:before="70" w:after="70"/>
              <w:jc w:val="right"/>
            </w:pPr>
            <w:r>
              <w:rPr>
                <w:sz w:val="18"/>
              </w:rPr>
              <w:t>50,238</w:t>
            </w:r>
          </w:p>
        </w:tc>
        <w:tc>
          <w:tcPr>
            <w:tcW w:w="1900" w:type="dxa"/>
            <w:shd w:fill="F2F6F8"/>
            <w:vAlign w:val="center"/>
          </w:tcPr>
          <w:p>
            <w:pPr>
              <w:spacing w:before="70" w:after="70"/>
              <w:jc w:val="right"/>
            </w:pPr>
            <w:r>
              <w:rPr>
                <w:sz w:val="18"/>
              </w:rPr>
              <w:t>51,553</w:t>
            </w:r>
          </w:p>
        </w:tc>
      </w:tr>
    </w:tbl>
    <w:p>
      <w:pPr>
        <w:pStyle w:val="Heading1"/>
      </w:pPr>
      <w:r>
        <w:t xml:space="preserve">Cash flow (GBP)</w:t>
      </w:r>
    </w:p>
    <w:tbl>
      <w:tblPr>
        <w:tblW w:w="0" w:type="auto"/>
        <w:tblBorders>
          <w:top w:val="single" w:sz="4" w:color="D9D9D9"/>
          <w:left w:val="single" w:sz="4" w:color="D9D9D9"/>
          <w:bottom w:val="single" w:sz="4" w:color="D9D9D9"/>
          <w:right w:val="single" w:sz="4" w:color="D9D9D9"/>
          <w:insideH w:val="single" w:sz="4" w:color="D9D9D9"/>
          <w:insideV w:val="single" w:sz="4" w:color="D9D9D9"/>
        </w:tblBorders>
      </w:tblPr>
      <w:tblGrid>
        <w:gridCol w:w="4200"/>
        <w:gridCol w:w="1900"/>
        <w:gridCol w:w="1900"/>
        <w:gridCol w:w="1900"/>
      </w:tblGrid>
      <w:tr>
        <w:trPr>
          <w:tblHeader/>
        </w:trPr>
        <w:tc>
          <w:tcPr>
            <w:tcW w:w="4200" w:type="dxa"/>
            <w:shd w:fill="13394D"/>
            <w:vAlign w:val="center"/>
          </w:tcPr>
          <w:p>
            <w:pPr>
              <w:spacing w:before="70" w:after="70"/>
            </w:pPr>
            <w:r>
              <w:rPr>
                <w:sz w:val="18"/>
                <w:b/>
                <w:color w:val="FFFFFF"/>
              </w:rPr>
              <w:t>Cash flow</w:t>
            </w:r>
          </w:p>
        </w:tc>
        <w:tc>
          <w:tcPr>
            <w:tcW w:w="1900" w:type="dxa"/>
            <w:shd w:fill="13394D"/>
            <w:vAlign w:val="center"/>
          </w:tcPr>
          <w:p>
            <w:pPr>
              <w:spacing w:before="70" w:after="70"/>
              <w:jc w:val="right"/>
            </w:pPr>
            <w:r>
              <w:rPr>
                <w:sz w:val="18"/>
                <w:b/>
                <w:color w:val="FFFFFF"/>
              </w:rPr>
              <w:t>Year 1</w:t>
            </w:r>
          </w:p>
        </w:tc>
        <w:tc>
          <w:tcPr>
            <w:tcW w:w="1900" w:type="dxa"/>
            <w:shd w:fill="13394D"/>
            <w:vAlign w:val="center"/>
          </w:tcPr>
          <w:p>
            <w:pPr>
              <w:spacing w:before="70" w:after="70"/>
              <w:jc w:val="right"/>
            </w:pPr>
            <w:r>
              <w:rPr>
                <w:sz w:val="18"/>
                <w:b/>
                <w:color w:val="FFFFFF"/>
              </w:rPr>
              <w:t>Year 2</w:t>
            </w:r>
          </w:p>
        </w:tc>
        <w:tc>
          <w:tcPr>
            <w:tcW w:w="1900" w:type="dxa"/>
            <w:shd w:fill="13394D"/>
            <w:vAlign w:val="center"/>
          </w:tcPr>
          <w:p>
            <w:pPr>
              <w:spacing w:before="70" w:after="70"/>
              <w:jc w:val="right"/>
            </w:pPr>
            <w:r>
              <w:rPr>
                <w:sz w:val="18"/>
                <w:b/>
                <w:color w:val="FFFFFF"/>
              </w:rPr>
              <w:t>Year 3</w:t>
            </w:r>
          </w:p>
        </w:tc>
      </w:tr>
      <w:tr>
        <w:tc>
          <w:tcPr>
            <w:tcW w:w="4200" w:type="dxa"/>
            <w:shd w:fill="F2F6F8"/>
            <w:vAlign w:val="center"/>
          </w:tcPr>
          <w:p>
            <w:pPr>
              <w:spacing w:before="70" w:after="70"/>
            </w:pPr>
            <w:r>
              <w:rPr>
                <w:sz w:val="18"/>
              </w:rPr>
              <w:t>Opening cash</w:t>
            </w:r>
          </w:p>
        </w:tc>
        <w:tc>
          <w:tcPr>
            <w:tcW w:w="1900" w:type="dxa"/>
            <w:shd w:fill="F2F6F8"/>
            <w:vAlign w:val="center"/>
          </w:tcPr>
          <w:p>
            <w:pPr>
              <w:spacing w:before="70" w:after="70"/>
              <w:jc w:val="right"/>
            </w:pPr>
            <w:r>
              <w:rPr>
                <w:sz w:val="18"/>
              </w:rPr>
              <w:t>25,000</w:t>
            </w:r>
          </w:p>
        </w:tc>
        <w:tc>
          <w:tcPr>
            <w:tcW w:w="1900" w:type="dxa"/>
            <w:shd w:fill="F2F6F8"/>
            <w:vAlign w:val="center"/>
          </w:tcPr>
          <w:p>
            <w:pPr>
              <w:spacing w:before="70" w:after="70"/>
              <w:jc w:val="right"/>
            </w:pPr>
            <w:r>
              <w:rPr>
                <w:sz w:val="18"/>
              </w:rPr>
              <w:t>63,780</w:t>
            </w:r>
          </w:p>
        </w:tc>
        <w:tc>
          <w:tcPr>
            <w:tcW w:w="1900" w:type="dxa"/>
            <w:shd w:fill="F2F6F8"/>
            <w:vAlign w:val="center"/>
          </w:tcPr>
          <w:p>
            <w:pPr>
              <w:spacing w:before="70" w:after="70"/>
              <w:jc w:val="right"/>
            </w:pPr>
            <w:r>
              <w:rPr>
                <w:sz w:val="18"/>
              </w:rPr>
              <w:t>114,833</w:t>
            </w:r>
          </w:p>
        </w:tc>
      </w:tr>
      <w:tr>
        <w:tc>
          <w:tcPr>
            <w:tcW w:w="4200" w:type="dxa"/>
            <w:shd w:fill="F2F6F8"/>
            <w:vAlign w:val="center"/>
          </w:tcPr>
          <w:p>
            <w:pPr>
              <w:spacing w:before="70" w:after="70"/>
            </w:pPr>
            <w:r>
              <w:rPr>
                <w:sz w:val="18"/>
              </w:rPr>
              <w:t>Cash collected</w:t>
            </w:r>
          </w:p>
        </w:tc>
        <w:tc>
          <w:tcPr>
            <w:tcW w:w="1900" w:type="dxa"/>
            <w:shd w:fill="F2F6F8"/>
            <w:vAlign w:val="center"/>
          </w:tcPr>
          <w:p>
            <w:pPr>
              <w:spacing w:before="70" w:after="70"/>
              <w:jc w:val="right"/>
            </w:pPr>
            <w:r>
              <w:rPr>
                <w:sz w:val="18"/>
              </w:rPr>
              <w:t>139,805</w:t>
            </w:r>
          </w:p>
        </w:tc>
        <w:tc>
          <w:tcPr>
            <w:tcW w:w="1900" w:type="dxa"/>
            <w:shd w:fill="F2F6F8"/>
            <w:vAlign w:val="center"/>
          </w:tcPr>
          <w:p>
            <w:pPr>
              <w:spacing w:before="70" w:after="70"/>
              <w:jc w:val="right"/>
            </w:pPr>
            <w:r>
              <w:rPr>
                <w:sz w:val="18"/>
              </w:rPr>
              <w:t>150,164</w:t>
            </w:r>
          </w:p>
        </w:tc>
        <w:tc>
          <w:tcPr>
            <w:tcW w:w="1900" w:type="dxa"/>
            <w:shd w:fill="F2F6F8"/>
            <w:vAlign w:val="center"/>
          </w:tcPr>
          <w:p>
            <w:pPr>
              <w:spacing w:before="70" w:after="70"/>
              <w:jc w:val="right"/>
            </w:pPr>
            <w:r>
              <w:rPr>
                <w:sz w:val="18"/>
              </w:rPr>
              <w:t>154,668</w:t>
            </w:r>
          </w:p>
        </w:tc>
      </w:tr>
      <w:tr>
        <w:tc>
          <w:tcPr>
            <w:tcW w:w="4200" w:type="dxa"/>
            <w:shd w:fill="F2F6F8"/>
            <w:vAlign w:val="center"/>
          </w:tcPr>
          <w:p>
            <w:pPr>
              <w:spacing w:before="70" w:after="70"/>
            </w:pPr>
            <w:r>
              <w:rPr>
                <w:sz w:val="18"/>
              </w:rPr>
              <w:t>Supplier payments</w:t>
            </w:r>
          </w:p>
        </w:tc>
        <w:tc>
          <w:tcPr>
            <w:tcW w:w="1900" w:type="dxa"/>
            <w:shd w:fill="F2F6F8"/>
            <w:vAlign w:val="center"/>
          </w:tcPr>
          <w:p>
            <w:pPr>
              <w:spacing w:before="70" w:after="70"/>
              <w:jc w:val="right"/>
            </w:pPr>
            <w:r>
              <w:rPr>
                <w:sz w:val="18"/>
              </w:rPr>
              <w:t>35,351</w:t>
            </w:r>
          </w:p>
        </w:tc>
        <w:tc>
          <w:tcPr>
            <w:tcW w:w="1900" w:type="dxa"/>
            <w:shd w:fill="F2F6F8"/>
            <w:vAlign w:val="center"/>
          </w:tcPr>
          <w:p>
            <w:pPr>
              <w:spacing w:before="70" w:after="70"/>
              <w:jc w:val="right"/>
            </w:pPr>
            <w:r>
              <w:rPr>
                <w:sz w:val="18"/>
              </w:rPr>
              <w:t>37,143</w:t>
            </w:r>
          </w:p>
        </w:tc>
        <w:tc>
          <w:tcPr>
            <w:tcW w:w="1900" w:type="dxa"/>
            <w:shd w:fill="F2F6F8"/>
            <w:vAlign w:val="center"/>
          </w:tcPr>
          <w:p>
            <w:pPr>
              <w:spacing w:before="70" w:after="70"/>
              <w:jc w:val="right"/>
            </w:pPr>
            <w:r>
              <w:rPr>
                <w:sz w:val="18"/>
              </w:rPr>
              <w:t>39,023</w:t>
            </w:r>
          </w:p>
        </w:tc>
      </w:tr>
      <w:tr>
        <w:tc>
          <w:tcPr>
            <w:tcW w:w="4200" w:type="dxa"/>
            <w:shd w:fill="F2F6F8"/>
            <w:vAlign w:val="center"/>
          </w:tcPr>
          <w:p>
            <w:pPr>
              <w:spacing w:before="70" w:after="70"/>
            </w:pPr>
            <w:r>
              <w:rPr>
                <w:sz w:val="18"/>
              </w:rPr>
              <w:t>Operating costs</w:t>
            </w:r>
          </w:p>
        </w:tc>
        <w:tc>
          <w:tcPr>
            <w:tcW w:w="1900" w:type="dxa"/>
            <w:shd w:fill="F2F6F8"/>
            <w:vAlign w:val="center"/>
          </w:tcPr>
          <w:p>
            <w:pPr>
              <w:spacing w:before="70" w:after="70"/>
              <w:jc w:val="right"/>
            </w:pPr>
            <w:r>
              <w:rPr>
                <w:sz w:val="18"/>
              </w:rPr>
              <w:t>48,438</w:t>
            </w:r>
          </w:p>
        </w:tc>
        <w:tc>
          <w:tcPr>
            <w:tcW w:w="1900" w:type="dxa"/>
            <w:shd w:fill="F2F6F8"/>
            <w:vAlign w:val="center"/>
          </w:tcPr>
          <w:p>
            <w:pPr>
              <w:spacing w:before="70" w:after="70"/>
              <w:jc w:val="right"/>
            </w:pPr>
            <w:r>
              <w:rPr>
                <w:sz w:val="18"/>
              </w:rPr>
              <w:t>49,407</w:t>
            </w:r>
          </w:p>
        </w:tc>
        <w:tc>
          <w:tcPr>
            <w:tcW w:w="1900" w:type="dxa"/>
            <w:shd w:fill="F2F6F8"/>
            <w:vAlign w:val="center"/>
          </w:tcPr>
          <w:p>
            <w:pPr>
              <w:spacing w:before="70" w:after="70"/>
              <w:jc w:val="right"/>
            </w:pPr>
            <w:r>
              <w:rPr>
                <w:sz w:val="18"/>
              </w:rPr>
              <w:t>50,395</w:t>
            </w:r>
          </w:p>
        </w:tc>
      </w:tr>
      <w:tr>
        <w:tc>
          <w:tcPr>
            <w:tcW w:w="4200" w:type="dxa"/>
            <w:shd w:fill="F2F6F8"/>
            <w:vAlign w:val="center"/>
          </w:tcPr>
          <w:p>
            <w:pPr>
              <w:spacing w:before="70" w:after="70"/>
            </w:pPr>
            <w:r>
              <w:rPr>
                <w:sz w:val="18"/>
              </w:rPr>
              <w:t>Loan interest</w:t>
            </w:r>
          </w:p>
        </w:tc>
        <w:tc>
          <w:tcPr>
            <w:tcW w:w="1900" w:type="dxa"/>
            <w:shd w:fill="F2F6F8"/>
            <w:vAlign w:val="center"/>
          </w:tcPr>
          <w:p>
            <w:pPr>
              <w:spacing w:before="70" w:after="70"/>
              <w:jc w:val="right"/>
            </w:pPr>
            <w:r>
              <w:rPr>
                <w:sz w:val="18"/>
              </w:rPr>
              <w:t>0</w:t>
            </w:r>
          </w:p>
        </w:tc>
        <w:tc>
          <w:tcPr>
            <w:tcW w:w="1900" w:type="dxa"/>
            <w:shd w:fill="F2F6F8"/>
            <w:vAlign w:val="center"/>
          </w:tcPr>
          <w:p>
            <w:pPr>
              <w:spacing w:before="70" w:after="70"/>
              <w:jc w:val="right"/>
            </w:pPr>
            <w:r>
              <w:rPr>
                <w:sz w:val="18"/>
              </w:rPr>
              <w:t>0</w:t>
            </w:r>
          </w:p>
        </w:tc>
        <w:tc>
          <w:tcPr>
            <w:tcW w:w="1900" w:type="dxa"/>
            <w:shd w:fill="F2F6F8"/>
            <w:vAlign w:val="center"/>
          </w:tcPr>
          <w:p>
            <w:pPr>
              <w:spacing w:before="70" w:after="70"/>
              <w:jc w:val="right"/>
            </w:pPr>
            <w:r>
              <w:rPr>
                <w:sz w:val="18"/>
              </w:rPr>
              <w:t>0</w:t>
            </w:r>
          </w:p>
        </w:tc>
      </w:tr>
      <w:tr>
        <w:tc>
          <w:tcPr>
            <w:tcW w:w="4200" w:type="dxa"/>
            <w:shd w:fill="F2F6F8"/>
            <w:vAlign w:val="center"/>
          </w:tcPr>
          <w:p>
            <w:pPr>
              <w:spacing w:before="70" w:after="70"/>
            </w:pPr>
            <w:r>
              <w:rPr>
                <w:sz w:val="18"/>
              </w:rPr>
              <w:t>Estimated profit tax</w:t>
            </w:r>
          </w:p>
        </w:tc>
        <w:tc>
          <w:tcPr>
            <w:tcW w:w="1900" w:type="dxa"/>
            <w:shd w:fill="F2F6F8"/>
            <w:vAlign w:val="center"/>
          </w:tcPr>
          <w:p>
            <w:pPr>
              <w:spacing w:before="70" w:after="70"/>
              <w:jc w:val="right"/>
            </w:pPr>
            <w:r>
              <w:rPr>
                <w:sz w:val="18"/>
              </w:rPr>
              <w:t>12,235</w:t>
            </w:r>
          </w:p>
        </w:tc>
        <w:tc>
          <w:tcPr>
            <w:tcW w:w="1900" w:type="dxa"/>
            <w:shd w:fill="F2F6F8"/>
            <w:vAlign w:val="center"/>
          </w:tcPr>
          <w:p>
            <w:pPr>
              <w:spacing w:before="70" w:after="70"/>
              <w:jc w:val="right"/>
            </w:pPr>
            <w:r>
              <w:rPr>
                <w:sz w:val="18"/>
              </w:rPr>
              <w:t>12,560</w:t>
            </w:r>
          </w:p>
        </w:tc>
        <w:tc>
          <w:tcPr>
            <w:tcW w:w="1900" w:type="dxa"/>
            <w:shd w:fill="F2F6F8"/>
            <w:vAlign w:val="center"/>
          </w:tcPr>
          <w:p>
            <w:pPr>
              <w:spacing w:before="70" w:after="70"/>
              <w:jc w:val="right"/>
            </w:pPr>
            <w:r>
              <w:rPr>
                <w:sz w:val="18"/>
              </w:rPr>
              <w:t>12,888</w:t>
            </w:r>
          </w:p>
        </w:tc>
      </w:tr>
      <w:tr>
        <w:tc>
          <w:tcPr>
            <w:tcW w:w="4200" w:type="dxa"/>
            <w:shd w:fill="F2F6F8"/>
            <w:vAlign w:val="center"/>
          </w:tcPr>
          <w:p>
            <w:pPr>
              <w:spacing w:before="70" w:after="70"/>
            </w:pPr>
            <w:r>
              <w:rPr>
                <w:sz w:val="18"/>
              </w:rPr>
              <w:t>Operating cash flow</w:t>
            </w:r>
          </w:p>
        </w:tc>
        <w:tc>
          <w:tcPr>
            <w:tcW w:w="1900" w:type="dxa"/>
            <w:shd w:fill="F2F6F8"/>
            <w:vAlign w:val="center"/>
          </w:tcPr>
          <w:p>
            <w:pPr>
              <w:spacing w:before="70" w:after="70"/>
              <w:jc w:val="right"/>
            </w:pPr>
            <w:r>
              <w:rPr>
                <w:sz w:val="18"/>
              </w:rPr>
              <w:t>43,780</w:t>
            </w:r>
          </w:p>
        </w:tc>
        <w:tc>
          <w:tcPr>
            <w:tcW w:w="1900" w:type="dxa"/>
            <w:shd w:fill="F2F6F8"/>
            <w:vAlign w:val="center"/>
          </w:tcPr>
          <w:p>
            <w:pPr>
              <w:spacing w:before="70" w:after="70"/>
              <w:jc w:val="right"/>
            </w:pPr>
            <w:r>
              <w:rPr>
                <w:sz w:val="18"/>
              </w:rPr>
              <w:t>51,054</w:t>
            </w:r>
          </w:p>
        </w:tc>
        <w:tc>
          <w:tcPr>
            <w:tcW w:w="1900" w:type="dxa"/>
            <w:shd w:fill="F2F6F8"/>
            <w:vAlign w:val="center"/>
          </w:tcPr>
          <w:p>
            <w:pPr>
              <w:spacing w:before="70" w:after="70"/>
              <w:jc w:val="right"/>
            </w:pPr>
            <w:r>
              <w:rPr>
                <w:sz w:val="18"/>
              </w:rPr>
              <w:t>52,362</w:t>
            </w:r>
          </w:p>
        </w:tc>
      </w:tr>
      <w:tr>
        <w:tc>
          <w:tcPr>
            <w:tcW w:w="4200" w:type="dxa"/>
            <w:shd w:fill="F2F6F8"/>
            <w:vAlign w:val="center"/>
          </w:tcPr>
          <w:p>
            <w:pPr>
              <w:spacing w:before="70" w:after="70"/>
            </w:pPr>
            <w:r>
              <w:rPr>
                <w:sz w:val="18"/>
              </w:rPr>
              <w:t>Equipment investment</w:t>
            </w:r>
          </w:p>
        </w:tc>
        <w:tc>
          <w:tcPr>
            <w:tcW w:w="1900" w:type="dxa"/>
            <w:shd w:fill="F2F6F8"/>
            <w:vAlign w:val="center"/>
          </w:tcPr>
          <w:p>
            <w:pPr>
              <w:spacing w:before="70" w:after="70"/>
              <w:jc w:val="right"/>
            </w:pPr>
            <w:r>
              <w:rPr>
                <w:sz w:val="18"/>
              </w:rPr>
              <w:t>5,000</w:t>
            </w:r>
          </w:p>
        </w:tc>
        <w:tc>
          <w:tcPr>
            <w:tcW w:w="1900" w:type="dxa"/>
            <w:shd w:fill="F2F6F8"/>
            <w:vAlign w:val="center"/>
          </w:tcPr>
          <w:p>
            <w:pPr>
              <w:spacing w:before="70" w:after="70"/>
              <w:jc w:val="right"/>
            </w:pPr>
            <w:r>
              <w:rPr>
                <w:sz w:val="18"/>
              </w:rPr>
              <w:t>0</w:t>
            </w:r>
          </w:p>
        </w:tc>
        <w:tc>
          <w:tcPr>
            <w:tcW w:w="1900" w:type="dxa"/>
            <w:shd w:fill="F2F6F8"/>
            <w:vAlign w:val="center"/>
          </w:tcPr>
          <w:p>
            <w:pPr>
              <w:spacing w:before="70" w:after="70"/>
              <w:jc w:val="right"/>
            </w:pPr>
            <w:r>
              <w:rPr>
                <w:sz w:val="18"/>
              </w:rPr>
              <w:t>0</w:t>
            </w:r>
          </w:p>
        </w:tc>
      </w:tr>
      <w:tr>
        <w:tc>
          <w:tcPr>
            <w:tcW w:w="4200" w:type="dxa"/>
            <w:shd w:fill="F2F6F8"/>
            <w:vAlign w:val="center"/>
          </w:tcPr>
          <w:p>
            <w:pPr>
              <w:spacing w:before="70" w:after="70"/>
            </w:pPr>
            <w:r>
              <w:rPr>
                <w:sz w:val="18"/>
              </w:rPr>
              <w:t>Loan principal repaid</w:t>
            </w:r>
          </w:p>
        </w:tc>
        <w:tc>
          <w:tcPr>
            <w:tcW w:w="1900" w:type="dxa"/>
            <w:shd w:fill="F2F6F8"/>
            <w:vAlign w:val="center"/>
          </w:tcPr>
          <w:p>
            <w:pPr>
              <w:spacing w:before="70" w:after="70"/>
              <w:jc w:val="right"/>
            </w:pPr>
            <w:r>
              <w:rPr>
                <w:sz w:val="18"/>
              </w:rPr>
              <w:t>0</w:t>
            </w:r>
          </w:p>
        </w:tc>
        <w:tc>
          <w:tcPr>
            <w:tcW w:w="1900" w:type="dxa"/>
            <w:shd w:fill="F2F6F8"/>
            <w:vAlign w:val="center"/>
          </w:tcPr>
          <w:p>
            <w:pPr>
              <w:spacing w:before="70" w:after="70"/>
              <w:jc w:val="right"/>
            </w:pPr>
            <w:r>
              <w:rPr>
                <w:sz w:val="18"/>
              </w:rPr>
              <w:t>0</w:t>
            </w:r>
          </w:p>
        </w:tc>
        <w:tc>
          <w:tcPr>
            <w:tcW w:w="1900" w:type="dxa"/>
            <w:shd w:fill="F2F6F8"/>
            <w:vAlign w:val="center"/>
          </w:tcPr>
          <w:p>
            <w:pPr>
              <w:spacing w:before="70" w:after="70"/>
              <w:jc w:val="right"/>
            </w:pPr>
            <w:r>
              <w:rPr>
                <w:sz w:val="18"/>
              </w:rPr>
              <w:t>0</w:t>
            </w:r>
          </w:p>
        </w:tc>
      </w:tr>
      <w:tr>
        <w:tc>
          <w:tcPr>
            <w:tcW w:w="4200" w:type="dxa"/>
            <w:shd w:fill="F2F6F8"/>
            <w:vAlign w:val="center"/>
          </w:tcPr>
          <w:p>
            <w:pPr>
              <w:spacing w:before="70" w:after="70"/>
            </w:pPr>
            <w:r>
              <w:rPr>
                <w:sz w:val="18"/>
              </w:rPr>
              <w:t>Change in cash</w:t>
            </w:r>
          </w:p>
        </w:tc>
        <w:tc>
          <w:tcPr>
            <w:tcW w:w="1900" w:type="dxa"/>
            <w:shd w:fill="F2F6F8"/>
            <w:vAlign w:val="center"/>
          </w:tcPr>
          <w:p>
            <w:pPr>
              <w:spacing w:before="70" w:after="70"/>
              <w:jc w:val="right"/>
            </w:pPr>
            <w:r>
              <w:rPr>
                <w:sz w:val="18"/>
              </w:rPr>
              <w:t>38,780</w:t>
            </w:r>
          </w:p>
        </w:tc>
        <w:tc>
          <w:tcPr>
            <w:tcW w:w="1900" w:type="dxa"/>
            <w:shd w:fill="F2F6F8"/>
            <w:vAlign w:val="center"/>
          </w:tcPr>
          <w:p>
            <w:pPr>
              <w:spacing w:before="70" w:after="70"/>
              <w:jc w:val="right"/>
            </w:pPr>
            <w:r>
              <w:rPr>
                <w:sz w:val="18"/>
              </w:rPr>
              <w:t>51,054</w:t>
            </w:r>
          </w:p>
        </w:tc>
        <w:tc>
          <w:tcPr>
            <w:tcW w:w="1900" w:type="dxa"/>
            <w:shd w:fill="F2F6F8"/>
            <w:vAlign w:val="center"/>
          </w:tcPr>
          <w:p>
            <w:pPr>
              <w:spacing w:before="70" w:after="70"/>
              <w:jc w:val="right"/>
            </w:pPr>
            <w:r>
              <w:rPr>
                <w:sz w:val="18"/>
              </w:rPr>
              <w:t>52,362</w:t>
            </w:r>
          </w:p>
        </w:tc>
      </w:tr>
      <w:tr>
        <w:tc>
          <w:tcPr>
            <w:tcW w:w="4200" w:type="dxa"/>
            <w:shd w:fill="F2F6F8"/>
            <w:vAlign w:val="center"/>
          </w:tcPr>
          <w:p>
            <w:pPr>
              <w:spacing w:before="70" w:after="70"/>
            </w:pPr>
            <w:r>
              <w:rPr>
                <w:sz w:val="18"/>
              </w:rPr>
              <w:t>Closing cash</w:t>
            </w:r>
          </w:p>
        </w:tc>
        <w:tc>
          <w:tcPr>
            <w:tcW w:w="1900" w:type="dxa"/>
            <w:shd w:fill="F2F6F8"/>
            <w:vAlign w:val="center"/>
          </w:tcPr>
          <w:p>
            <w:pPr>
              <w:spacing w:before="70" w:after="70"/>
              <w:jc w:val="right"/>
            </w:pPr>
            <w:r>
              <w:rPr>
                <w:sz w:val="18"/>
              </w:rPr>
              <w:t>63,780</w:t>
            </w:r>
          </w:p>
        </w:tc>
        <w:tc>
          <w:tcPr>
            <w:tcW w:w="1900" w:type="dxa"/>
            <w:shd w:fill="F2F6F8"/>
            <w:vAlign w:val="center"/>
          </w:tcPr>
          <w:p>
            <w:pPr>
              <w:spacing w:before="70" w:after="70"/>
              <w:jc w:val="right"/>
            </w:pPr>
            <w:r>
              <w:rPr>
                <w:sz w:val="18"/>
              </w:rPr>
              <w:t>114,833</w:t>
            </w:r>
          </w:p>
        </w:tc>
        <w:tc>
          <w:tcPr>
            <w:tcW w:w="1900" w:type="dxa"/>
            <w:shd w:fill="F2F6F8"/>
            <w:vAlign w:val="center"/>
          </w:tcPr>
          <w:p>
            <w:pPr>
              <w:spacing w:before="70" w:after="70"/>
              <w:jc w:val="right"/>
            </w:pPr>
            <w:r>
              <w:rPr>
                <w:sz w:val="18"/>
              </w:rPr>
              <w:t>167,196</w:t>
            </w:r>
          </w:p>
        </w:tc>
      </w:tr>
    </w:tbl>
    <w:p>
      <w:pPr>
        <w:pStyle w:val="Heading1"/>
      </w:pPr>
      <w:r>
        <w:t xml:space="preserve">Balance sheet (GBP)</w:t>
      </w:r>
    </w:p>
    <w:tbl>
      <w:tblPr>
        <w:tblW w:w="0" w:type="auto"/>
        <w:tblBorders>
          <w:top w:val="single" w:sz="4" w:color="D9D9D9"/>
          <w:left w:val="single" w:sz="4" w:color="D9D9D9"/>
          <w:bottom w:val="single" w:sz="4" w:color="D9D9D9"/>
          <w:right w:val="single" w:sz="4" w:color="D9D9D9"/>
          <w:insideH w:val="single" w:sz="4" w:color="D9D9D9"/>
          <w:insideV w:val="single" w:sz="4" w:color="D9D9D9"/>
        </w:tblBorders>
      </w:tblPr>
      <w:tblGrid>
        <w:gridCol w:w="4200"/>
        <w:gridCol w:w="1900"/>
        <w:gridCol w:w="1900"/>
        <w:gridCol w:w="1900"/>
      </w:tblGrid>
      <w:tr>
        <w:trPr>
          <w:tblHeader/>
        </w:trPr>
        <w:tc>
          <w:tcPr>
            <w:tcW w:w="4200" w:type="dxa"/>
            <w:shd w:fill="13394D"/>
            <w:vAlign w:val="center"/>
          </w:tcPr>
          <w:p>
            <w:pPr>
              <w:spacing w:before="70" w:after="70"/>
            </w:pPr>
            <w:r>
              <w:rPr>
                <w:sz w:val="18"/>
                <w:b/>
                <w:color w:val="FFFFFF"/>
              </w:rPr>
              <w:t>Balance sheet</w:t>
            </w:r>
          </w:p>
        </w:tc>
        <w:tc>
          <w:tcPr>
            <w:tcW w:w="1900" w:type="dxa"/>
            <w:shd w:fill="13394D"/>
            <w:vAlign w:val="center"/>
          </w:tcPr>
          <w:p>
            <w:pPr>
              <w:spacing w:before="70" w:after="70"/>
              <w:jc w:val="right"/>
            </w:pPr>
            <w:r>
              <w:rPr>
                <w:sz w:val="18"/>
                <w:b/>
                <w:color w:val="FFFFFF"/>
              </w:rPr>
              <w:t>Year 1</w:t>
            </w:r>
          </w:p>
        </w:tc>
        <w:tc>
          <w:tcPr>
            <w:tcW w:w="1900" w:type="dxa"/>
            <w:shd w:fill="13394D"/>
            <w:vAlign w:val="center"/>
          </w:tcPr>
          <w:p>
            <w:pPr>
              <w:spacing w:before="70" w:after="70"/>
              <w:jc w:val="right"/>
            </w:pPr>
            <w:r>
              <w:rPr>
                <w:sz w:val="18"/>
                <w:b/>
                <w:color w:val="FFFFFF"/>
              </w:rPr>
              <w:t>Year 2</w:t>
            </w:r>
          </w:p>
        </w:tc>
        <w:tc>
          <w:tcPr>
            <w:tcW w:w="1900" w:type="dxa"/>
            <w:shd w:fill="13394D"/>
            <w:vAlign w:val="center"/>
          </w:tcPr>
          <w:p>
            <w:pPr>
              <w:spacing w:before="70" w:after="70"/>
              <w:jc w:val="right"/>
            </w:pPr>
            <w:r>
              <w:rPr>
                <w:sz w:val="18"/>
                <w:b/>
                <w:color w:val="FFFFFF"/>
              </w:rPr>
              <w:t>Year 3</w:t>
            </w:r>
          </w:p>
        </w:tc>
      </w:tr>
      <w:tr>
        <w:tc>
          <w:tcPr>
            <w:tcW w:w="4200" w:type="dxa"/>
            <w:shd w:fill="F2F6F8"/>
            <w:vAlign w:val="center"/>
          </w:tcPr>
          <w:p>
            <w:pPr>
              <w:spacing w:before="70" w:after="70"/>
            </w:pPr>
            <w:r>
              <w:rPr>
                <w:sz w:val="18"/>
              </w:rPr>
              <w:t>Closing cash</w:t>
            </w:r>
          </w:p>
        </w:tc>
        <w:tc>
          <w:tcPr>
            <w:tcW w:w="1900" w:type="dxa"/>
            <w:shd w:fill="F2F6F8"/>
            <w:vAlign w:val="center"/>
          </w:tcPr>
          <w:p>
            <w:pPr>
              <w:spacing w:before="70" w:after="70"/>
              <w:jc w:val="right"/>
            </w:pPr>
            <w:r>
              <w:rPr>
                <w:sz w:val="18"/>
              </w:rPr>
              <w:t>63,780</w:t>
            </w:r>
          </w:p>
        </w:tc>
        <w:tc>
          <w:tcPr>
            <w:tcW w:w="1900" w:type="dxa"/>
            <w:shd w:fill="F2F6F8"/>
            <w:vAlign w:val="center"/>
          </w:tcPr>
          <w:p>
            <w:pPr>
              <w:spacing w:before="70" w:after="70"/>
              <w:jc w:val="right"/>
            </w:pPr>
            <w:r>
              <w:rPr>
                <w:sz w:val="18"/>
              </w:rPr>
              <w:t>114,833</w:t>
            </w:r>
          </w:p>
        </w:tc>
        <w:tc>
          <w:tcPr>
            <w:tcW w:w="1900" w:type="dxa"/>
            <w:shd w:fill="F2F6F8"/>
            <w:vAlign w:val="center"/>
          </w:tcPr>
          <w:p>
            <w:pPr>
              <w:spacing w:before="70" w:after="70"/>
              <w:jc w:val="right"/>
            </w:pPr>
            <w:r>
              <w:rPr>
                <w:sz w:val="18"/>
              </w:rPr>
              <w:t>167,196</w:t>
            </w:r>
          </w:p>
        </w:tc>
      </w:tr>
      <w:tr>
        <w:tc>
          <w:tcPr>
            <w:tcW w:w="4200" w:type="dxa"/>
            <w:shd w:fill="F2F6F8"/>
            <w:vAlign w:val="center"/>
          </w:tcPr>
          <w:p>
            <w:pPr>
              <w:spacing w:before="70" w:after="70"/>
            </w:pPr>
            <w:r>
              <w:rPr>
                <w:sz w:val="18"/>
              </w:rPr>
              <w:t>Trade receivables</w:t>
            </w:r>
          </w:p>
        </w:tc>
        <w:tc>
          <w:tcPr>
            <w:tcW w:w="1900" w:type="dxa"/>
            <w:shd w:fill="F2F6F8"/>
            <w:vAlign w:val="center"/>
          </w:tcPr>
          <w:p>
            <w:pPr>
              <w:spacing w:before="70" w:after="70"/>
              <w:jc w:val="right"/>
            </w:pPr>
            <w:r>
              <w:rPr>
                <w:sz w:val="18"/>
              </w:rPr>
              <w:t>6,165</w:t>
            </w:r>
          </w:p>
        </w:tc>
        <w:tc>
          <w:tcPr>
            <w:tcW w:w="1900" w:type="dxa"/>
            <w:shd w:fill="F2F6F8"/>
            <w:vAlign w:val="center"/>
          </w:tcPr>
          <w:p>
            <w:pPr>
              <w:spacing w:before="70" w:after="70"/>
              <w:jc w:val="right"/>
            </w:pPr>
            <w:r>
              <w:rPr>
                <w:sz w:val="18"/>
              </w:rPr>
              <w:t>6,350</w:t>
            </w:r>
          </w:p>
        </w:tc>
        <w:tc>
          <w:tcPr>
            <w:tcW w:w="1900" w:type="dxa"/>
            <w:shd w:fill="F2F6F8"/>
            <w:vAlign w:val="center"/>
          </w:tcPr>
          <w:p>
            <w:pPr>
              <w:spacing w:before="70" w:after="70"/>
              <w:jc w:val="right"/>
            </w:pPr>
            <w:r>
              <w:rPr>
                <w:sz w:val="18"/>
              </w:rPr>
              <w:t>6,540</w:t>
            </w:r>
          </w:p>
        </w:tc>
      </w:tr>
      <w:tr>
        <w:tc>
          <w:tcPr>
            <w:tcW w:w="4200" w:type="dxa"/>
            <w:shd w:fill="F2F6F8"/>
            <w:vAlign w:val="center"/>
          </w:tcPr>
          <w:p>
            <w:pPr>
              <w:spacing w:before="70" w:after="70"/>
            </w:pPr>
            <w:r>
              <w:rPr>
                <w:sz w:val="18"/>
              </w:rPr>
              <w:t>Inventory</w:t>
            </w:r>
          </w:p>
        </w:tc>
        <w:tc>
          <w:tcPr>
            <w:tcW w:w="1900" w:type="dxa"/>
            <w:shd w:fill="F2F6F8"/>
            <w:vAlign w:val="center"/>
          </w:tcPr>
          <w:p>
            <w:pPr>
              <w:spacing w:before="70" w:after="70"/>
              <w:jc w:val="right"/>
            </w:pPr>
            <w:r>
              <w:rPr>
                <w:sz w:val="18"/>
              </w:rPr>
              <w:t>1,507</w:t>
            </w:r>
          </w:p>
        </w:tc>
        <w:tc>
          <w:tcPr>
            <w:tcW w:w="1900" w:type="dxa"/>
            <w:shd w:fill="F2F6F8"/>
            <w:vAlign w:val="center"/>
          </w:tcPr>
          <w:p>
            <w:pPr>
              <w:spacing w:before="70" w:after="70"/>
              <w:jc w:val="right"/>
            </w:pPr>
            <w:r>
              <w:rPr>
                <w:sz w:val="18"/>
              </w:rPr>
              <w:t>1,583</w:t>
            </w:r>
          </w:p>
        </w:tc>
        <w:tc>
          <w:tcPr>
            <w:tcW w:w="1900" w:type="dxa"/>
            <w:shd w:fill="F2F6F8"/>
            <w:vAlign w:val="center"/>
          </w:tcPr>
          <w:p>
            <w:pPr>
              <w:spacing w:before="70" w:after="70"/>
              <w:jc w:val="right"/>
            </w:pPr>
            <w:r>
              <w:rPr>
                <w:sz w:val="18"/>
              </w:rPr>
              <w:t>1,663</w:t>
            </w:r>
          </w:p>
        </w:tc>
      </w:tr>
      <w:tr>
        <w:tc>
          <w:tcPr>
            <w:tcW w:w="4200" w:type="dxa"/>
            <w:shd w:fill="F2F6F8"/>
            <w:vAlign w:val="center"/>
          </w:tcPr>
          <w:p>
            <w:pPr>
              <w:spacing w:before="70" w:after="70"/>
            </w:pPr>
            <w:r>
              <w:rPr>
                <w:sz w:val="18"/>
              </w:rPr>
              <w:t>Equipment, net</w:t>
            </w:r>
          </w:p>
        </w:tc>
        <w:tc>
          <w:tcPr>
            <w:tcW w:w="1900" w:type="dxa"/>
            <w:shd w:fill="F2F6F8"/>
            <w:vAlign w:val="center"/>
          </w:tcPr>
          <w:p>
            <w:pPr>
              <w:spacing w:before="70" w:after="70"/>
              <w:jc w:val="right"/>
            </w:pPr>
            <w:r>
              <w:rPr>
                <w:sz w:val="18"/>
              </w:rPr>
              <w:t>4,000</w:t>
            </w:r>
          </w:p>
        </w:tc>
        <w:tc>
          <w:tcPr>
            <w:tcW w:w="1900" w:type="dxa"/>
            <w:shd w:fill="F2F6F8"/>
            <w:vAlign w:val="center"/>
          </w:tcPr>
          <w:p>
            <w:pPr>
              <w:spacing w:before="70" w:after="70"/>
              <w:jc w:val="right"/>
            </w:pPr>
            <w:r>
              <w:rPr>
                <w:sz w:val="18"/>
              </w:rPr>
              <w:t>3,000</w:t>
            </w:r>
          </w:p>
        </w:tc>
        <w:tc>
          <w:tcPr>
            <w:tcW w:w="1900" w:type="dxa"/>
            <w:shd w:fill="F2F6F8"/>
            <w:vAlign w:val="center"/>
          </w:tcPr>
          <w:p>
            <w:pPr>
              <w:spacing w:before="70" w:after="70"/>
              <w:jc w:val="right"/>
            </w:pPr>
            <w:r>
              <w:rPr>
                <w:sz w:val="18"/>
              </w:rPr>
              <w:t>2,000</w:t>
            </w:r>
          </w:p>
        </w:tc>
      </w:tr>
      <w:tr>
        <w:tc>
          <w:tcPr>
            <w:tcW w:w="4200" w:type="dxa"/>
            <w:shd w:fill="F2F6F8"/>
            <w:vAlign w:val="center"/>
          </w:tcPr>
          <w:p>
            <w:pPr>
              <w:spacing w:before="70" w:after="70"/>
            </w:pPr>
            <w:r>
              <w:rPr>
                <w:sz w:val="18"/>
              </w:rPr>
              <w:t>Total assets</w:t>
            </w:r>
          </w:p>
        </w:tc>
        <w:tc>
          <w:tcPr>
            <w:tcW w:w="1900" w:type="dxa"/>
            <w:shd w:fill="F2F6F8"/>
            <w:vAlign w:val="center"/>
          </w:tcPr>
          <w:p>
            <w:pPr>
              <w:spacing w:before="70" w:after="70"/>
              <w:jc w:val="right"/>
            </w:pPr>
            <w:r>
              <w:rPr>
                <w:sz w:val="18"/>
              </w:rPr>
              <w:t>75,451</w:t>
            </w:r>
          </w:p>
        </w:tc>
        <w:tc>
          <w:tcPr>
            <w:tcW w:w="1900" w:type="dxa"/>
            <w:shd w:fill="F2F6F8"/>
            <w:vAlign w:val="center"/>
          </w:tcPr>
          <w:p>
            <w:pPr>
              <w:spacing w:before="70" w:after="70"/>
              <w:jc w:val="right"/>
            </w:pPr>
            <w:r>
              <w:rPr>
                <w:sz w:val="18"/>
              </w:rPr>
              <w:t>125,766</w:t>
            </w:r>
          </w:p>
        </w:tc>
        <w:tc>
          <w:tcPr>
            <w:tcW w:w="1900" w:type="dxa"/>
            <w:shd w:fill="F2F6F8"/>
            <w:vAlign w:val="center"/>
          </w:tcPr>
          <w:p>
            <w:pPr>
              <w:spacing w:before="70" w:after="70"/>
              <w:jc w:val="right"/>
            </w:pPr>
            <w:r>
              <w:rPr>
                <w:sz w:val="18"/>
              </w:rPr>
              <w:t>177,399</w:t>
            </w:r>
          </w:p>
        </w:tc>
      </w:tr>
      <w:tr>
        <w:tc>
          <w:tcPr>
            <w:tcW w:w="4200" w:type="dxa"/>
            <w:shd w:fill="F2F6F8"/>
            <w:vAlign w:val="center"/>
          </w:tcPr>
          <w:p>
            <w:pPr>
              <w:spacing w:before="70" w:after="70"/>
            </w:pPr>
            <w:r>
              <w:rPr>
                <w:sz w:val="18"/>
              </w:rPr>
              <w:t>Trade payables</w:t>
            </w:r>
          </w:p>
        </w:tc>
        <w:tc>
          <w:tcPr>
            <w:tcW w:w="1900" w:type="dxa"/>
            <w:shd w:fill="F2F6F8"/>
            <w:vAlign w:val="center"/>
          </w:tcPr>
          <w:p>
            <w:pPr>
              <w:spacing w:before="70" w:after="70"/>
              <w:jc w:val="right"/>
            </w:pPr>
            <w:r>
              <w:rPr>
                <w:sz w:val="18"/>
              </w:rPr>
              <w:t>1,510</w:t>
            </w:r>
          </w:p>
        </w:tc>
        <w:tc>
          <w:tcPr>
            <w:tcW w:w="1900" w:type="dxa"/>
            <w:shd w:fill="F2F6F8"/>
            <w:vAlign w:val="center"/>
          </w:tcPr>
          <w:p>
            <w:pPr>
              <w:spacing w:before="70" w:after="70"/>
              <w:jc w:val="right"/>
            </w:pPr>
            <w:r>
              <w:rPr>
                <w:sz w:val="18"/>
              </w:rPr>
              <w:t>1,586</w:t>
            </w:r>
          </w:p>
        </w:tc>
        <w:tc>
          <w:tcPr>
            <w:tcW w:w="1900" w:type="dxa"/>
            <w:shd w:fill="F2F6F8"/>
            <w:vAlign w:val="center"/>
          </w:tcPr>
          <w:p>
            <w:pPr>
              <w:spacing w:before="70" w:after="70"/>
              <w:jc w:val="right"/>
            </w:pPr>
            <w:r>
              <w:rPr>
                <w:sz w:val="18"/>
              </w:rPr>
              <w:t>1,666</w:t>
            </w:r>
          </w:p>
        </w:tc>
      </w:tr>
      <w:tr>
        <w:tc>
          <w:tcPr>
            <w:tcW w:w="4200" w:type="dxa"/>
            <w:shd w:fill="F2F6F8"/>
            <w:vAlign w:val="center"/>
          </w:tcPr>
          <w:p>
            <w:pPr>
              <w:spacing w:before="70" w:after="70"/>
            </w:pPr>
            <w:r>
              <w:rPr>
                <w:sz w:val="18"/>
              </w:rPr>
              <w:t>Loan balance</w:t>
            </w:r>
          </w:p>
        </w:tc>
        <w:tc>
          <w:tcPr>
            <w:tcW w:w="1900" w:type="dxa"/>
            <w:shd w:fill="F2F6F8"/>
            <w:vAlign w:val="center"/>
          </w:tcPr>
          <w:p>
            <w:pPr>
              <w:spacing w:before="70" w:after="70"/>
              <w:jc w:val="right"/>
            </w:pPr>
            <w:r>
              <w:rPr>
                <w:sz w:val="18"/>
              </w:rPr>
              <w:t>0</w:t>
            </w:r>
          </w:p>
        </w:tc>
        <w:tc>
          <w:tcPr>
            <w:tcW w:w="1900" w:type="dxa"/>
            <w:shd w:fill="F2F6F8"/>
            <w:vAlign w:val="center"/>
          </w:tcPr>
          <w:p>
            <w:pPr>
              <w:spacing w:before="70" w:after="70"/>
              <w:jc w:val="right"/>
            </w:pPr>
            <w:r>
              <w:rPr>
                <w:sz w:val="18"/>
              </w:rPr>
              <w:t>0</w:t>
            </w:r>
          </w:p>
        </w:tc>
        <w:tc>
          <w:tcPr>
            <w:tcW w:w="1900" w:type="dxa"/>
            <w:shd w:fill="F2F6F8"/>
            <w:vAlign w:val="center"/>
          </w:tcPr>
          <w:p>
            <w:pPr>
              <w:spacing w:before="70" w:after="70"/>
              <w:jc w:val="right"/>
            </w:pPr>
            <w:r>
              <w:rPr>
                <w:sz w:val="18"/>
              </w:rPr>
              <w:t>0</w:t>
            </w:r>
          </w:p>
        </w:tc>
      </w:tr>
      <w:tr>
        <w:tc>
          <w:tcPr>
            <w:tcW w:w="4200" w:type="dxa"/>
            <w:shd w:fill="F2F6F8"/>
            <w:vAlign w:val="center"/>
          </w:tcPr>
          <w:p>
            <w:pPr>
              <w:spacing w:before="70" w:after="70"/>
            </w:pPr>
            <w:r>
              <w:rPr>
                <w:sz w:val="18"/>
              </w:rPr>
              <w:t>Total liabilities</w:t>
            </w:r>
          </w:p>
        </w:tc>
        <w:tc>
          <w:tcPr>
            <w:tcW w:w="1900" w:type="dxa"/>
            <w:shd w:fill="F2F6F8"/>
            <w:vAlign w:val="center"/>
          </w:tcPr>
          <w:p>
            <w:pPr>
              <w:spacing w:before="70" w:after="70"/>
              <w:jc w:val="right"/>
            </w:pPr>
            <w:r>
              <w:rPr>
                <w:sz w:val="18"/>
              </w:rPr>
              <w:t>1,510</w:t>
            </w:r>
          </w:p>
        </w:tc>
        <w:tc>
          <w:tcPr>
            <w:tcW w:w="1900" w:type="dxa"/>
            <w:shd w:fill="F2F6F8"/>
            <w:vAlign w:val="center"/>
          </w:tcPr>
          <w:p>
            <w:pPr>
              <w:spacing w:before="70" w:after="70"/>
              <w:jc w:val="right"/>
            </w:pPr>
            <w:r>
              <w:rPr>
                <w:sz w:val="18"/>
              </w:rPr>
              <w:t>1,586</w:t>
            </w:r>
          </w:p>
        </w:tc>
        <w:tc>
          <w:tcPr>
            <w:tcW w:w="1900" w:type="dxa"/>
            <w:shd w:fill="F2F6F8"/>
            <w:vAlign w:val="center"/>
          </w:tcPr>
          <w:p>
            <w:pPr>
              <w:spacing w:before="70" w:after="70"/>
              <w:jc w:val="right"/>
            </w:pPr>
            <w:r>
              <w:rPr>
                <w:sz w:val="18"/>
              </w:rPr>
              <w:t>1,666</w:t>
            </w:r>
          </w:p>
        </w:tc>
      </w:tr>
      <w:tr>
        <w:tc>
          <w:tcPr>
            <w:tcW w:w="4200" w:type="dxa"/>
            <w:shd w:fill="F2F6F8"/>
            <w:vAlign w:val="center"/>
          </w:tcPr>
          <w:p>
            <w:pPr>
              <w:spacing w:before="70" w:after="70"/>
            </w:pPr>
            <w:r>
              <w:rPr>
                <w:sz w:val="18"/>
              </w:rPr>
              <w:t>Paid-in capital</w:t>
            </w:r>
          </w:p>
        </w:tc>
        <w:tc>
          <w:tcPr>
            <w:tcW w:w="1900" w:type="dxa"/>
            <w:shd w:fill="F2F6F8"/>
            <w:vAlign w:val="center"/>
          </w:tcPr>
          <w:p>
            <w:pPr>
              <w:spacing w:before="70" w:after="70"/>
              <w:jc w:val="right"/>
            </w:pPr>
            <w:r>
              <w:rPr>
                <w:sz w:val="18"/>
              </w:rPr>
              <w:t>25,000</w:t>
            </w:r>
          </w:p>
        </w:tc>
        <w:tc>
          <w:tcPr>
            <w:tcW w:w="1900" w:type="dxa"/>
            <w:shd w:fill="F2F6F8"/>
            <w:vAlign w:val="center"/>
          </w:tcPr>
          <w:p>
            <w:pPr>
              <w:spacing w:before="70" w:after="70"/>
              <w:jc w:val="right"/>
            </w:pPr>
            <w:r>
              <w:rPr>
                <w:sz w:val="18"/>
              </w:rPr>
              <w:t>25,000</w:t>
            </w:r>
          </w:p>
        </w:tc>
        <w:tc>
          <w:tcPr>
            <w:tcW w:w="1900" w:type="dxa"/>
            <w:shd w:fill="F2F6F8"/>
            <w:vAlign w:val="center"/>
          </w:tcPr>
          <w:p>
            <w:pPr>
              <w:spacing w:before="70" w:after="70"/>
              <w:jc w:val="right"/>
            </w:pPr>
            <w:r>
              <w:rPr>
                <w:sz w:val="18"/>
              </w:rPr>
              <w:t>25,000</w:t>
            </w:r>
          </w:p>
        </w:tc>
      </w:tr>
      <w:tr>
        <w:tc>
          <w:tcPr>
            <w:tcW w:w="4200" w:type="dxa"/>
            <w:shd w:fill="F2F6F8"/>
            <w:vAlign w:val="center"/>
          </w:tcPr>
          <w:p>
            <w:pPr>
              <w:spacing w:before="70" w:after="70"/>
            </w:pPr>
            <w:r>
              <w:rPr>
                <w:sz w:val="18"/>
              </w:rPr>
              <w:t>Retained earnings</w:t>
            </w:r>
          </w:p>
        </w:tc>
        <w:tc>
          <w:tcPr>
            <w:tcW w:w="1900" w:type="dxa"/>
            <w:shd w:fill="F2F6F8"/>
            <w:vAlign w:val="center"/>
          </w:tcPr>
          <w:p>
            <w:pPr>
              <w:spacing w:before="70" w:after="70"/>
              <w:jc w:val="right"/>
            </w:pPr>
            <w:r>
              <w:rPr>
                <w:sz w:val="18"/>
              </w:rPr>
              <w:t>48,941</w:t>
            </w:r>
          </w:p>
        </w:tc>
        <w:tc>
          <w:tcPr>
            <w:tcW w:w="1900" w:type="dxa"/>
            <w:shd w:fill="F2F6F8"/>
            <w:vAlign w:val="center"/>
          </w:tcPr>
          <w:p>
            <w:pPr>
              <w:spacing w:before="70" w:after="70"/>
              <w:jc w:val="right"/>
            </w:pPr>
            <w:r>
              <w:rPr>
                <w:sz w:val="18"/>
              </w:rPr>
              <w:t>99,180</w:t>
            </w:r>
          </w:p>
        </w:tc>
        <w:tc>
          <w:tcPr>
            <w:tcW w:w="1900" w:type="dxa"/>
            <w:shd w:fill="F2F6F8"/>
            <w:vAlign w:val="center"/>
          </w:tcPr>
          <w:p>
            <w:pPr>
              <w:spacing w:before="70" w:after="70"/>
              <w:jc w:val="right"/>
            </w:pPr>
            <w:r>
              <w:rPr>
                <w:sz w:val="18"/>
              </w:rPr>
              <w:t>150,732</w:t>
            </w:r>
          </w:p>
        </w:tc>
      </w:tr>
      <w:tr>
        <w:tc>
          <w:tcPr>
            <w:tcW w:w="4200" w:type="dxa"/>
            <w:shd w:fill="F2F6F8"/>
            <w:vAlign w:val="center"/>
          </w:tcPr>
          <w:p>
            <w:pPr>
              <w:spacing w:before="70" w:after="70"/>
            </w:pPr>
            <w:r>
              <w:rPr>
                <w:sz w:val="18"/>
              </w:rPr>
              <w:t>Equity</w:t>
            </w:r>
          </w:p>
        </w:tc>
        <w:tc>
          <w:tcPr>
            <w:tcW w:w="1900" w:type="dxa"/>
            <w:shd w:fill="F2F6F8"/>
            <w:vAlign w:val="center"/>
          </w:tcPr>
          <w:p>
            <w:pPr>
              <w:spacing w:before="70" w:after="70"/>
              <w:jc w:val="right"/>
            </w:pPr>
            <w:r>
              <w:rPr>
                <w:sz w:val="18"/>
              </w:rPr>
              <w:t>73,941</w:t>
            </w:r>
          </w:p>
        </w:tc>
        <w:tc>
          <w:tcPr>
            <w:tcW w:w="1900" w:type="dxa"/>
            <w:shd w:fill="F2F6F8"/>
            <w:vAlign w:val="center"/>
          </w:tcPr>
          <w:p>
            <w:pPr>
              <w:spacing w:before="70" w:after="70"/>
              <w:jc w:val="right"/>
            </w:pPr>
            <w:r>
              <w:rPr>
                <w:sz w:val="18"/>
              </w:rPr>
              <w:t>124,180</w:t>
            </w:r>
          </w:p>
        </w:tc>
        <w:tc>
          <w:tcPr>
            <w:tcW w:w="1900" w:type="dxa"/>
            <w:shd w:fill="F2F6F8"/>
            <w:vAlign w:val="center"/>
          </w:tcPr>
          <w:p>
            <w:pPr>
              <w:spacing w:before="70" w:after="70"/>
              <w:jc w:val="right"/>
            </w:pPr>
            <w:r>
              <w:rPr>
                <w:sz w:val="18"/>
              </w:rPr>
              <w:t>175,732</w:t>
            </w:r>
          </w:p>
        </w:tc>
      </w:tr>
      <w:tr>
        <w:tc>
          <w:tcPr>
            <w:tcW w:w="4200" w:type="dxa"/>
            <w:shd w:fill="F2F6F8"/>
            <w:vAlign w:val="center"/>
          </w:tcPr>
          <w:p>
            <w:pPr>
              <w:spacing w:before="70" w:after="70"/>
            </w:pPr>
            <w:r>
              <w:rPr>
                <w:sz w:val="18"/>
              </w:rPr>
              <w:t>Balance reconciliation</w:t>
            </w:r>
          </w:p>
        </w:tc>
        <w:tc>
          <w:tcPr>
            <w:tcW w:w="1900" w:type="dxa"/>
            <w:shd w:fill="F2F6F8"/>
            <w:vAlign w:val="center"/>
          </w:tcPr>
          <w:p>
            <w:pPr>
              <w:spacing w:before="70" w:after="70"/>
              <w:jc w:val="right"/>
            </w:pPr>
            <w:r>
              <w:rPr>
                <w:sz w:val="18"/>
              </w:rPr>
              <w:t>0</w:t>
            </w:r>
          </w:p>
        </w:tc>
        <w:tc>
          <w:tcPr>
            <w:tcW w:w="1900" w:type="dxa"/>
            <w:shd w:fill="F2F6F8"/>
            <w:vAlign w:val="center"/>
          </w:tcPr>
          <w:p>
            <w:pPr>
              <w:spacing w:before="70" w:after="70"/>
              <w:jc w:val="right"/>
            </w:pPr>
            <w:r>
              <w:rPr>
                <w:sz w:val="18"/>
              </w:rPr>
              <w:t>0</w:t>
            </w:r>
          </w:p>
        </w:tc>
        <w:tc>
          <w:tcPr>
            <w:tcW w:w="1900" w:type="dxa"/>
            <w:shd w:fill="F2F6F8"/>
            <w:vAlign w:val="center"/>
          </w:tcPr>
          <w:p>
            <w:pPr>
              <w:spacing w:before="70" w:after="70"/>
              <w:jc w:val="right"/>
            </w:pPr>
            <w:r>
              <w:rPr>
                <w:sz w:val="18"/>
              </w:rPr>
              <w:t>0</w:t>
            </w:r>
          </w:p>
        </w:tc>
      </w:tr>
    </w:tbl>
    <w:p>
      <w:pPr>
        <w:pStyle w:val="Heading1"/>
      </w:pPr>
      <w:r>
        <w:t xml:space="preserve">Research sources</w:t>
      </w:r>
    </w:p>
    <w:sectPr w:rsidR="00FC693F" w:rsidRPr="0006063C" w:rsidSect="00034616">
      <w:headerReference w:type="default" r:id="rId9"/>
      <w:footerReference w:type="default" r:id="rId10"/>
      <w:pgSz w:w="12240" w:h="15840"/>
      <w:pgMar w:top="1152" w:right="1152" w:bottom="1152" w:left="1152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</w:pPr>
    <w:r>
      <w:rPr>
        <w:sz w:val="16"/>
      </w:rPr>
      <w:t>ITERAQ LTD · 16765559 · info@iteraq.com</w:t>
      <w:br/>
      <w:t>Suite 9983, 5 Brayford Square, London, E1 0SG</w:t>
    </w:r>
  </w:p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</w:pPr>
    <w:r>
      <w:drawing>
        <wp:inline xmlns:a="http://schemas.openxmlformats.org/drawingml/2006/main" xmlns:pic="http://schemas.openxmlformats.org/drawingml/2006/picture">
          <wp:extent cx="438912" cy="438912"/>
          <wp:docPr id="1" name="Picture 1"/>
          <wp:cNvGraphicFramePr>
            <a:graphicFrameLocks noChangeAspect="1"/>
          </wp:cNvGraphicFramePr>
          <a:graphic>
            <a:graphicData uri="http://schemas.openxmlformats.org/drawingml/2006/picture">
              <pic:pic>
                <pic:nvPicPr>
                  <pic:cNvPr id="0" name="iteraq-logo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438912" cy="438912"/>
                  </a:xfrm>
                  <a:prstGeom prst="rect"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160"/>
    </w:pPr>
    <w:rPr>
      <w:rFonts w:ascii="Arial" w:hAnsi="Arial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 w:ascii="Arial" w:hAnsi="Arial"/>
      <w:b/>
      <w:bCs/>
      <w:color w:val="13394D"/>
      <w:sz w:val="3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 w:ascii="Arial" w:hAnsi="Arial"/>
      <w:b/>
      <w:bCs/>
      <w:color w:val="13394D"/>
      <w:sz w:val="28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keepNext/>
      <w:spacing w:after="300" w:line="240" w:lineRule="auto"/>
      <w:contextualSpacing/>
    </w:pPr>
    <w:rPr>
      <w:rFonts w:asciiTheme="majorHAnsi" w:eastAsiaTheme="majorEastAsia" w:hAnsiTheme="majorHAnsi" w:cstheme="majorBidi" w:ascii="Arial" w:hAnsi="Arial"/>
      <w:color w:val="000000"/>
      <w:spacing w:val="5"/>
      <w:kern w:val="28"/>
      <w:sz w:val="56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Relationship Id="rId10" Type="http://schemas.openxmlformats.org/officeDocument/2006/relationships/footer" Target="footer1.xml"/></Relationships>
</file>

<file path=word/_rels/header1.xml.rels><?xml version='1.0' encoding='UTF-8' standalone='yes'?>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